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1E55C0" w14:textId="77777777" w:rsidR="00C16B80" w:rsidRDefault="00C16B80">
      <w:pPr>
        <w:widowControl w:val="0"/>
        <w:ind w:firstLine="15"/>
        <w:rPr>
          <w:sz w:val="2"/>
          <w:szCs w:val="2"/>
        </w:rPr>
      </w:pPr>
    </w:p>
    <w:tbl>
      <w:tblPr>
        <w:tblStyle w:val="a"/>
        <w:tblpPr w:leftFromText="180" w:rightFromText="180" w:topFromText="180" w:bottomFromText="180" w:vertAnchor="text" w:tblpX="2"/>
        <w:tblW w:w="1144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8820"/>
      </w:tblGrid>
      <w:tr w:rsidR="00C16B80" w14:paraId="2359AFFD" w14:textId="77777777">
        <w:trPr>
          <w:trHeight w:val="1140"/>
        </w:trPr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4E6"/>
          </w:tcPr>
          <w:p w14:paraId="30CC6684" w14:textId="77777777" w:rsidR="00C16B80" w:rsidRDefault="00C1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</w:p>
          <w:p w14:paraId="2C859F89" w14:textId="77777777" w:rsidR="00C16B80" w:rsidRDefault="00C16B80">
            <w:pPr>
              <w:spacing w:line="276" w:lineRule="auto"/>
              <w:ind w:left="0"/>
              <w:rPr>
                <w:color w:val="999999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C3C3B"/>
            <w:vAlign w:val="bottom"/>
          </w:tcPr>
          <w:p w14:paraId="1D460C7C" w14:textId="77777777" w:rsidR="00C16B80" w:rsidRDefault="00C16B80">
            <w:pPr>
              <w:pStyle w:val="Subttulo"/>
              <w:keepNext w:val="0"/>
              <w:keepLines w:val="0"/>
              <w:widowControl w:val="0"/>
              <w:ind w:left="15"/>
              <w:rPr>
                <w:shd w:val="clear" w:color="auto" w:fill="C31229"/>
              </w:rPr>
            </w:pPr>
            <w:bookmarkStart w:id="1" w:name="_heading=h.30j0zll" w:colFirst="0" w:colLast="0"/>
            <w:bookmarkEnd w:id="1"/>
          </w:p>
        </w:tc>
      </w:tr>
    </w:tbl>
    <w:p w14:paraId="42C14691" w14:textId="77777777" w:rsidR="00C16B80" w:rsidRDefault="00000000">
      <w:pPr>
        <w:pStyle w:val="Subttulo"/>
        <w:keepNext w:val="0"/>
        <w:keepLines w:val="0"/>
        <w:widowControl w:val="0"/>
        <w:ind w:left="15"/>
        <w:rPr>
          <w:color w:val="666666"/>
        </w:rPr>
      </w:pPr>
      <w:bookmarkStart w:id="2" w:name="_heading=h.1fob9te" w:colFirst="0" w:colLast="0"/>
      <w:bookmarkEnd w:id="2"/>
      <w:r>
        <w:rPr>
          <w:noProof/>
        </w:rPr>
        <w:drawing>
          <wp:anchor distT="0" distB="0" distL="0" distR="0" simplePos="0" relativeHeight="251658240" behindDoc="0" locked="0" layoutInCell="1" hidden="0" allowOverlap="1" wp14:anchorId="05D966FB" wp14:editId="0050675B">
            <wp:simplePos x="0" y="0"/>
            <wp:positionH relativeFrom="column">
              <wp:posOffset>85725</wp:posOffset>
            </wp:positionH>
            <wp:positionV relativeFrom="paragraph">
              <wp:posOffset>90488</wp:posOffset>
            </wp:positionV>
            <wp:extent cx="1548068" cy="558412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068" cy="558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17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45"/>
        <w:gridCol w:w="9945"/>
      </w:tblGrid>
      <w:tr w:rsidR="00C16B80" w14:paraId="4645D0F7" w14:textId="77777777">
        <w:trPr>
          <w:trHeight w:val="61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F15C" w14:textId="77777777" w:rsidR="00C16B80" w:rsidRDefault="00C1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Montserrat" w:eastAsia="Montserrat" w:hAnsi="Montserrat" w:cs="Montserrat"/>
                <w:color w:val="7E8076"/>
              </w:rPr>
            </w:pPr>
          </w:p>
        </w:tc>
        <w:tc>
          <w:tcPr>
            <w:tcW w:w="9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113D" w14:textId="77777777" w:rsidR="00C16B80" w:rsidRDefault="00000000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sz w:val="36"/>
                <w:szCs w:val="36"/>
              </w:rPr>
            </w:pPr>
            <w:r>
              <w:rPr>
                <w:rFonts w:ascii="Montserrat" w:eastAsia="Montserrat" w:hAnsi="Montserrat" w:cs="Montserrat"/>
                <w:sz w:val="36"/>
                <w:szCs w:val="36"/>
              </w:rPr>
              <w:t xml:space="preserve">Chery Group </w:t>
            </w:r>
            <w:r w:rsidR="00BF3B91">
              <w:rPr>
                <w:rFonts w:ascii="Montserrat" w:eastAsia="Montserrat" w:hAnsi="Montserrat" w:cs="Montserrat"/>
                <w:sz w:val="36"/>
                <w:szCs w:val="36"/>
              </w:rPr>
              <w:t xml:space="preserve">rompe </w:t>
            </w:r>
            <w:r>
              <w:rPr>
                <w:rFonts w:ascii="Montserrat" w:eastAsia="Montserrat" w:hAnsi="Montserrat" w:cs="Montserrat"/>
                <w:sz w:val="36"/>
                <w:szCs w:val="36"/>
              </w:rPr>
              <w:t xml:space="preserve">récord mensual de ventas en noviembre del 2023 </w:t>
            </w:r>
          </w:p>
          <w:p w14:paraId="6796418D" w14:textId="77777777" w:rsidR="00C16B80" w:rsidRDefault="00C16B80">
            <w:pPr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0A5DA9C0" w14:textId="77777777" w:rsidR="00C16B80" w:rsidRPr="00BF3B91" w:rsidRDefault="00000000" w:rsidP="00BF3B9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La marca automotriz china de alcance global vendió 212,076 unidades el mes pasado, logrando un crecimiento del 111% en comparación con noviembre del 2022. </w:t>
            </w:r>
          </w:p>
        </w:tc>
      </w:tr>
    </w:tbl>
    <w:p w14:paraId="7F6E5FA1" w14:textId="77777777" w:rsidR="00C16B80" w:rsidRDefault="00C16B80">
      <w:pPr>
        <w:widowControl w:val="0"/>
        <w:ind w:left="0"/>
        <w:jc w:val="both"/>
        <w:rPr>
          <w:rFonts w:ascii="Montserrat" w:eastAsia="Montserrat" w:hAnsi="Montserrat" w:cs="Montserrat"/>
        </w:rPr>
      </w:pPr>
    </w:p>
    <w:tbl>
      <w:tblPr>
        <w:tblStyle w:val="a1"/>
        <w:tblW w:w="110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30"/>
        <w:gridCol w:w="9210"/>
      </w:tblGrid>
      <w:tr w:rsidR="00C16B80" w14:paraId="23F2A1DD" w14:textId="77777777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857A3C4" w14:textId="77777777" w:rsidR="00C16B80" w:rsidRDefault="00C16B80">
            <w:pPr>
              <w:widowControl w:val="0"/>
              <w:ind w:left="0"/>
              <w:rPr>
                <w:color w:val="000000"/>
                <w:sz w:val="22"/>
                <w:szCs w:val="22"/>
              </w:rPr>
            </w:pPr>
          </w:p>
          <w:p w14:paraId="65326ED7" w14:textId="77777777" w:rsidR="00C16B80" w:rsidRDefault="00C16B80">
            <w:pPr>
              <w:widowControl w:val="0"/>
              <w:ind w:firstLine="15"/>
              <w:rPr>
                <w:color w:val="000000"/>
                <w:sz w:val="22"/>
                <w:szCs w:val="22"/>
              </w:rPr>
            </w:pPr>
          </w:p>
          <w:p w14:paraId="5AD329BC" w14:textId="77777777" w:rsidR="00C16B80" w:rsidRDefault="00C16B8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71F50642" w14:textId="01EBBA47" w:rsidR="00C16B80" w:rsidRDefault="00000000">
            <w:pPr>
              <w:widowControl w:val="0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Ciudad de México, </w:t>
            </w:r>
            <w:r w:rsidR="00C02A54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19</w:t>
            </w:r>
            <w:r w:rsidR="000C41F5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de diciembre de 2023.-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Chery Group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, la marca china mundialmente conocida y propietari</w:t>
            </w:r>
            <w:r w:rsidR="00BF3B91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a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de </w:t>
            </w:r>
            <w:r w:rsidR="00BF3B91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Chirey Motor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México, batió un récord de ventas mensual en noviembre </w:t>
            </w:r>
            <w:r w:rsidR="00BF3B91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con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212,076 unidades, superando por segunda vez consecutiva en el año la marca de 200,000. Este hito confirma su consolidación como líder del sector automotriz en 2023. </w:t>
            </w:r>
          </w:p>
          <w:p w14:paraId="5FFE0092" w14:textId="77777777" w:rsidR="00C16B80" w:rsidRDefault="00C16B8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2E68BEC7" w14:textId="77777777" w:rsidR="00C16B80" w:rsidRDefault="00000000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Con un total de 212,076 autos vendidos a nivel mundial en noviembre, 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Chery Group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logró un crecimiento interanual del 111%. La compañía ha experimentado 11 meses consecutivos de crecimiento en ventas, con un acumulado de 1,665,626 vehículos de enero a noviembre, dando como resultado un incremento interanual del 47.8%.</w:t>
            </w:r>
          </w:p>
          <w:p w14:paraId="036B94B0" w14:textId="77777777" w:rsidR="00C16B80" w:rsidRDefault="00C16B80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5133E6D9" w14:textId="77777777" w:rsidR="008B1A4C" w:rsidRDefault="00000000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sdt>
              <w:sdtPr>
                <w:tag w:val="goog_rdk_0"/>
                <w:id w:val="-717049771"/>
              </w:sdtPr>
              <w:sdtContent/>
            </w:sdt>
            <w:sdt>
              <w:sdtPr>
                <w:tag w:val="goog_rdk_1"/>
                <w:id w:val="-10217788"/>
              </w:sdtPr>
              <w:sdtContent/>
            </w:sdt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Es de destacar </w:t>
            </w:r>
            <w:r w:rsidR="00BF3B91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los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tres modelos de Chery Group alcanzaron ventas de más de 10,000 unidades en noviembre: 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Tiggo 7</w:t>
            </w:r>
            <w:r w:rsidR="00BF3B91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 Pro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Tiggo 8</w:t>
            </w:r>
            <w:r w:rsidR="00BF3B91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</w:t>
            </w:r>
            <w:r w:rsidR="00BF3B91" w:rsidRPr="00BF3B91">
              <w:rPr>
                <w:rFonts w:ascii="Montserrat" w:eastAsia="Montserrat" w:hAnsi="Montserrat" w:cs="Montserrat"/>
                <w:b/>
                <w:bCs/>
                <w:color w:val="000000"/>
                <w:sz w:val="22"/>
                <w:szCs w:val="22"/>
              </w:rPr>
              <w:t>Pro</w:t>
            </w:r>
            <w:r w:rsidR="00BF3B91">
              <w:rPr>
                <w:rFonts w:ascii="Montserrat" w:eastAsia="Montserrat" w:hAnsi="Montserrat" w:cs="Montserra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B91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y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Arrizo 8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con 25,924, 24,932 y 17,198 vehículos, respectivamente, siendo los pilares del ascenso de </w:t>
            </w:r>
          </w:p>
          <w:p w14:paraId="4F2BF48A" w14:textId="77777777" w:rsidR="00C16B80" w:rsidRDefault="00000000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la marca automotriz china en los últimos meses.</w:t>
            </w:r>
            <w:r w:rsidR="008B1A4C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</w:t>
            </w:r>
          </w:p>
          <w:p w14:paraId="64512693" w14:textId="77777777" w:rsidR="008B1A4C" w:rsidRDefault="008B1A4C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1841CA71" w14:textId="77777777" w:rsidR="008B1A4C" w:rsidRDefault="008B1A4C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En México, Chirey Motor México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softHyphen/>
              <w:t>vendió 3,115 vehículos en noviembre de 2023 para un acumulado de 3</w:t>
            </w:r>
            <w:r w:rsidRPr="008B1A4C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5,523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unidades de enero al mes pasado</w:t>
            </w:r>
            <w:r w:rsidR="00E74E01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. </w:t>
            </w:r>
          </w:p>
          <w:p w14:paraId="2F002040" w14:textId="77777777" w:rsidR="00C16B80" w:rsidRDefault="00C16B80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32E210DE" w14:textId="39EF000D" w:rsidR="00B84612" w:rsidRPr="00E74E01" w:rsidRDefault="00B84612" w:rsidP="00B84612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</w:rPr>
              <w:t xml:space="preserve">Por otro lado, Tiggo 4 Pro se ha consolidado como el 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modelo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</w:rPr>
              <w:t>más vendido a nivel mundial,  ganándose la preferencia en México y otros 40 países por su confiabilidad y durabilidad. En el mercado nacional, este B-SUV ha sido el favorito con un acumulado de 8,729 unidades acomodadas.</w:t>
            </w:r>
          </w:p>
          <w:p w14:paraId="25ADD16B" w14:textId="77777777" w:rsidR="00B84612" w:rsidRDefault="00B84612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1847B543" w14:textId="3057B08C" w:rsidR="00C16B80" w:rsidRDefault="00000000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Desde la energía nueva hasta la conectividad inteligente, Chery se ha posicionado estratégicamente en diversas áreas, incluyendo vehículos con motor de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lastRenderedPageBreak/>
              <w:t xml:space="preserve">combustión interna (ICE), vehículos eléctricos híbridos enchufables (PHEV) y vehículos eléctricos a batería (EV), </w:t>
            </w:r>
            <w:r w:rsidR="001A3444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afianzándose como un grupo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 </w:t>
            </w:r>
            <w:r w:rsidR="001A3444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líder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en el mercado globa</w:t>
            </w:r>
            <w:r w:rsidR="001A3444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l.</w:t>
            </w:r>
          </w:p>
          <w:p w14:paraId="12019872" w14:textId="77777777" w:rsidR="00C16B80" w:rsidRDefault="00C16B80">
            <w:pPr>
              <w:widowControl w:val="0"/>
              <w:spacing w:line="276" w:lineRule="auto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6241FD5E" w14:textId="77777777" w:rsidR="00C16B80" w:rsidRDefault="00C16B80">
            <w:pPr>
              <w:widowControl w:val="0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18A1E295" w14:textId="77777777" w:rsidR="00C16B80" w:rsidRDefault="00000000">
            <w:pPr>
              <w:widowControl w:val="0"/>
              <w:ind w:left="0"/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###</w:t>
            </w:r>
          </w:p>
          <w:p w14:paraId="157E2308" w14:textId="77777777" w:rsidR="00C16B80" w:rsidRDefault="00C16B80">
            <w:pPr>
              <w:widowControl w:val="0"/>
              <w:ind w:left="0"/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2312A686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Acerca de CHIREY</w:t>
            </w:r>
          </w:p>
          <w:p w14:paraId="1D8B3A80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CHIREY es una empresa de alcance global con presencia en México desde 2022. En su primer año de operaciones vendió más de 3</w:t>
            </w:r>
            <w:r w:rsidR="00E74E01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5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,000 unidades en el mercado nacional. Por más de 2</w:t>
            </w:r>
            <w:r w:rsidR="00E74E01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años, CHIREY ha desarrollado diversas plataformas para todos los segmentos, productos que cuentan con una tecnología que permite el ahorro de combustible y la reducción de emisiones en el medioambiente, cumpliendo con la Norma EURO6, incluyendo los vehículos de combustión interna, híbridos, PHEV y eléctricos. CHIREY está comprometido con el desarrollo y con la misión de traer la más avanzada tecnología para sus clientes.</w:t>
            </w:r>
          </w:p>
          <w:p w14:paraId="014FEF7C" w14:textId="77777777" w:rsidR="00C16B80" w:rsidRDefault="00C16B8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72A31740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CHIREY MOTOR MÉXICO es una subsidiaria de la empresa CHERY INTERNATIONAL. Para más información sobre la empresa, visite: </w:t>
            </w:r>
            <w:hyperlink r:id="rId9">
              <w:r>
                <w:rPr>
                  <w:rFonts w:ascii="Montserrat" w:eastAsia="Montserrat" w:hAnsi="Montserrat" w:cs="Montserrat"/>
                  <w:color w:val="000000"/>
                  <w:sz w:val="22"/>
                  <w:szCs w:val="22"/>
                  <w:u w:val="single"/>
                </w:rPr>
                <w:t>chirey.mx.</w:t>
              </w:r>
            </w:hyperlink>
          </w:p>
          <w:p w14:paraId="75BFDCB9" w14:textId="77777777" w:rsidR="00C16B80" w:rsidRDefault="00C16B80">
            <w:pPr>
              <w:widowControl w:val="0"/>
              <w:ind w:left="0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5C838EEE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Contactos de prensa:</w:t>
            </w:r>
          </w:p>
          <w:p w14:paraId="3E0F25B1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Francisco Esquivel</w:t>
            </w:r>
          </w:p>
          <w:p w14:paraId="6625B9FC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PR Specialist | CHIREY México </w:t>
            </w:r>
          </w:p>
          <w:p w14:paraId="505CEBB6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Cel. 55 1034 3562</w:t>
            </w:r>
          </w:p>
          <w:p w14:paraId="17CB85ED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E-mail: francisco.esquivel@chirey.mx</w:t>
            </w:r>
          </w:p>
          <w:p w14:paraId="75DDA2A5" w14:textId="77777777" w:rsidR="00C16B80" w:rsidRDefault="00C16B8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  <w:p w14:paraId="52B59411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Carlos Gutiérrez</w:t>
            </w:r>
          </w:p>
          <w:p w14:paraId="1AFE4165" w14:textId="77777777" w:rsidR="00C16B80" w:rsidRPr="00BF3B91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</w:pPr>
            <w:r w:rsidRPr="00BF3B91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  <w:t>Senior Account Executive | Another Company</w:t>
            </w:r>
          </w:p>
          <w:p w14:paraId="271F84C7" w14:textId="77777777" w:rsidR="00C16B80" w:rsidRPr="00BF3B91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</w:pPr>
            <w:r w:rsidRPr="00BF3B91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  <w:t>Cel. 56 2666 1769</w:t>
            </w:r>
          </w:p>
          <w:p w14:paraId="7F358BE6" w14:textId="77777777" w:rsidR="00C16B80" w:rsidRPr="00BF3B91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</w:pPr>
            <w:r w:rsidRPr="00BF3B91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0">
              <w:r w:rsidRPr="00BF3B91">
                <w:rPr>
                  <w:rFonts w:ascii="Montserrat" w:eastAsia="Montserrat" w:hAnsi="Montserrat" w:cs="Montserrat"/>
                  <w:color w:val="000000"/>
                  <w:sz w:val="22"/>
                  <w:szCs w:val="22"/>
                  <w:u w:val="single"/>
                  <w:lang w:val="en-US"/>
                </w:rPr>
                <w:t>carlos.gutierrez@another.co</w:t>
              </w:r>
            </w:hyperlink>
          </w:p>
          <w:p w14:paraId="4444ECF1" w14:textId="77777777" w:rsidR="00C16B80" w:rsidRPr="00BF3B91" w:rsidRDefault="00C16B8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</w:pPr>
          </w:p>
          <w:p w14:paraId="2342B318" w14:textId="77777777" w:rsidR="00C16B80" w:rsidRPr="00BF3B91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</w:pPr>
            <w:r w:rsidRPr="00BF3B91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  <w:t>Paola Ruiz</w:t>
            </w:r>
          </w:p>
          <w:p w14:paraId="50DD5584" w14:textId="77777777" w:rsidR="00C16B80" w:rsidRPr="00BF3B91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</w:pPr>
            <w:r w:rsidRPr="00BF3B91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en-US"/>
              </w:rPr>
              <w:t>Senior Account Executive | Another Company</w:t>
            </w:r>
          </w:p>
          <w:p w14:paraId="562692D3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Cel. 55 85777630</w:t>
            </w:r>
          </w:p>
          <w:p w14:paraId="20DB9BBF" w14:textId="77777777" w:rsidR="00C16B80" w:rsidRDefault="0000000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E-mail: paola.ruiz@another.co</w:t>
            </w:r>
          </w:p>
        </w:tc>
      </w:tr>
      <w:tr w:rsidR="00C16B80" w14:paraId="5D860CEA" w14:textId="77777777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E386CF5" w14:textId="77777777" w:rsidR="00C16B80" w:rsidRDefault="00C16B8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45B8CC65" w14:textId="77777777" w:rsidR="00C16B80" w:rsidRDefault="00C16B80">
            <w:pPr>
              <w:widowControl w:val="0"/>
              <w:ind w:firstLine="15"/>
              <w:jc w:val="both"/>
              <w:rPr>
                <w:rFonts w:ascii="Montserrat" w:eastAsia="Montserrat" w:hAnsi="Montserrat" w:cs="Montserrat"/>
                <w:b/>
                <w:color w:val="434343"/>
                <w:sz w:val="22"/>
                <w:szCs w:val="22"/>
              </w:rPr>
            </w:pPr>
          </w:p>
        </w:tc>
      </w:tr>
    </w:tbl>
    <w:p w14:paraId="7AAA5F1F" w14:textId="77777777" w:rsidR="00C16B80" w:rsidRDefault="00C16B80">
      <w:pPr>
        <w:widowControl w:val="0"/>
        <w:spacing w:line="276" w:lineRule="auto"/>
        <w:ind w:left="0"/>
        <w:rPr>
          <w:rFonts w:ascii="Helvetica Neue" w:eastAsia="Helvetica Neue" w:hAnsi="Helvetica Neue" w:cs="Helvetica Neue"/>
          <w:color w:val="454545"/>
          <w:sz w:val="18"/>
          <w:szCs w:val="18"/>
        </w:rPr>
      </w:pPr>
    </w:p>
    <w:p w14:paraId="75101A99" w14:textId="77777777" w:rsidR="00C16B80" w:rsidRDefault="00C16B80">
      <w:pPr>
        <w:widowControl w:val="0"/>
        <w:pBdr>
          <w:top w:val="nil"/>
          <w:left w:val="nil"/>
          <w:bottom w:val="nil"/>
          <w:right w:val="nil"/>
          <w:between w:val="nil"/>
        </w:pBdr>
        <w:ind w:left="0"/>
        <w:rPr>
          <w:sz w:val="22"/>
          <w:szCs w:val="22"/>
        </w:rPr>
      </w:pPr>
    </w:p>
    <w:sectPr w:rsidR="00C16B80">
      <w:footerReference w:type="default" r:id="rId11"/>
      <w:pgSz w:w="12240" w:h="15840"/>
      <w:pgMar w:top="1008" w:right="431" w:bottom="1008" w:left="43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107E" w14:textId="77777777" w:rsidR="00D479B5" w:rsidRDefault="00D479B5">
      <w:r>
        <w:separator/>
      </w:r>
    </w:p>
  </w:endnote>
  <w:endnote w:type="continuationSeparator" w:id="0">
    <w:p w14:paraId="5541DCFE" w14:textId="77777777" w:rsidR="00D479B5" w:rsidRDefault="00D4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F4D" w14:textId="77777777" w:rsidR="00C16B80" w:rsidRDefault="00C16B80">
    <w:pPr>
      <w:widowControl w:val="0"/>
      <w:pBdr>
        <w:top w:val="nil"/>
        <w:left w:val="nil"/>
        <w:bottom w:val="nil"/>
        <w:right w:val="nil"/>
        <w:between w:val="nil"/>
      </w:pBdr>
      <w:ind w:firstLine="15"/>
    </w:pPr>
  </w:p>
  <w:tbl>
    <w:tblPr>
      <w:tblStyle w:val="a2"/>
      <w:tblW w:w="11430" w:type="dxa"/>
      <w:tblInd w:w="0" w:type="dxa"/>
      <w:tblLayout w:type="fixed"/>
      <w:tblLook w:val="0600" w:firstRow="0" w:lastRow="0" w:firstColumn="0" w:lastColumn="0" w:noHBand="1" w:noVBand="1"/>
    </w:tblPr>
    <w:tblGrid>
      <w:gridCol w:w="9375"/>
      <w:gridCol w:w="2055"/>
    </w:tblGrid>
    <w:tr w:rsidR="00C16B80" w14:paraId="71A6BC7B" w14:textId="77777777">
      <w:tc>
        <w:tcPr>
          <w:tcW w:w="9375" w:type="dxa"/>
          <w:shd w:val="clear" w:color="auto" w:fill="3C3C3B"/>
          <w:tcMar>
            <w:top w:w="100" w:type="dxa"/>
            <w:left w:w="100" w:type="dxa"/>
            <w:bottom w:w="100" w:type="dxa"/>
            <w:right w:w="100" w:type="dxa"/>
          </w:tcMar>
        </w:tcPr>
        <w:p w14:paraId="04698623" w14:textId="77777777" w:rsidR="00C16B8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15"/>
            <w:rPr>
              <w:rFonts w:ascii="Montserrat" w:eastAsia="Montserrat" w:hAnsi="Montserrat" w:cs="Montserrat"/>
              <w:color w:val="E4E4E6"/>
              <w:shd w:val="clear" w:color="auto" w:fill="3C3C3B"/>
            </w:rPr>
          </w:pPr>
          <w:r>
            <w:rPr>
              <w:rFonts w:ascii="Montserrat" w:eastAsia="Montserrat" w:hAnsi="Montserrat" w:cs="Montserrat"/>
              <w:color w:val="FFFFFF"/>
              <w:shd w:val="clear" w:color="auto" w:fill="3C3C3B"/>
            </w:rPr>
            <w:t xml:space="preserve">CHIREY </w:t>
          </w:r>
          <w:r>
            <w:rPr>
              <w:rFonts w:ascii="Montserrat" w:eastAsia="Montserrat" w:hAnsi="Montserrat" w:cs="Montserrat"/>
              <w:color w:val="E4E4E6"/>
              <w:shd w:val="clear" w:color="auto" w:fill="3C3C3B"/>
            </w:rPr>
            <w:t xml:space="preserve">MÉXICO • </w:t>
          </w:r>
          <w:hyperlink r:id="rId1">
            <w:r>
              <w:rPr>
                <w:rFonts w:ascii="Montserrat" w:eastAsia="Montserrat" w:hAnsi="Montserrat" w:cs="Montserrat"/>
                <w:color w:val="E4E4E6"/>
                <w:u w:val="single"/>
                <w:shd w:val="clear" w:color="auto" w:fill="3C3C3B"/>
              </w:rPr>
              <w:t>WWW.CHIREY.MX</w:t>
            </w:r>
          </w:hyperlink>
        </w:p>
      </w:tc>
      <w:tc>
        <w:tcPr>
          <w:tcW w:w="2055" w:type="dxa"/>
          <w:shd w:val="clear" w:color="auto" w:fill="C2C2C4"/>
          <w:tcMar>
            <w:top w:w="100" w:type="dxa"/>
            <w:left w:w="100" w:type="dxa"/>
            <w:bottom w:w="100" w:type="dxa"/>
            <w:right w:w="100" w:type="dxa"/>
          </w:tcMar>
        </w:tcPr>
        <w:p w14:paraId="5F4B952D" w14:textId="77777777" w:rsidR="00C16B8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right="90"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 </w:t>
          </w:r>
          <w:r>
            <w:rPr>
              <w:b/>
              <w:color w:val="FFFFFF"/>
            </w:rPr>
            <w:fldChar w:fldCharType="begin"/>
          </w:r>
          <w:r>
            <w:rPr>
              <w:b/>
              <w:color w:val="FFFFFF"/>
            </w:rPr>
            <w:instrText>PAGE</w:instrText>
          </w:r>
          <w:r>
            <w:rPr>
              <w:b/>
              <w:color w:val="FFFFFF"/>
            </w:rPr>
            <w:fldChar w:fldCharType="separate"/>
          </w:r>
          <w:r w:rsidR="00BF3B91">
            <w:rPr>
              <w:b/>
              <w:noProof/>
              <w:color w:val="FFFFFF"/>
            </w:rPr>
            <w:t>1</w:t>
          </w:r>
          <w:r>
            <w:rPr>
              <w:b/>
              <w:color w:val="FFFFFF"/>
            </w:rPr>
            <w:fldChar w:fldCharType="end"/>
          </w:r>
          <w:r>
            <w:rPr>
              <w:b/>
              <w:color w:val="FFFFFF"/>
            </w:rPr>
            <w:t xml:space="preserve"> </w:t>
          </w:r>
        </w:p>
      </w:tc>
    </w:tr>
  </w:tbl>
  <w:p w14:paraId="2499B26C" w14:textId="77777777" w:rsidR="00C16B80" w:rsidRDefault="00C16B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DBC3" w14:textId="77777777" w:rsidR="00D479B5" w:rsidRDefault="00D479B5">
      <w:r>
        <w:separator/>
      </w:r>
    </w:p>
  </w:footnote>
  <w:footnote w:type="continuationSeparator" w:id="0">
    <w:p w14:paraId="227563F4" w14:textId="77777777" w:rsidR="00D479B5" w:rsidRDefault="00D4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A5787"/>
    <w:multiLevelType w:val="multilevel"/>
    <w:tmpl w:val="25127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682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80"/>
    <w:rsid w:val="000C41F5"/>
    <w:rsid w:val="001A3444"/>
    <w:rsid w:val="00555884"/>
    <w:rsid w:val="007327EA"/>
    <w:rsid w:val="00842434"/>
    <w:rsid w:val="008B1A4C"/>
    <w:rsid w:val="00B84612"/>
    <w:rsid w:val="00BF3B91"/>
    <w:rsid w:val="00C02A54"/>
    <w:rsid w:val="00C16B80"/>
    <w:rsid w:val="00D479B5"/>
    <w:rsid w:val="00E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C6BC"/>
  <w15:docId w15:val="{03E2D604-65D8-47BA-9B5F-0ED4F7DE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666666"/>
        <w:lang w:val="es-MX" w:eastAsia="es-MX" w:bidi="ar-SA"/>
      </w:rPr>
    </w:rPrDefault>
    <w:pPrDefault>
      <w:pPr>
        <w:ind w:left="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color w:val="9AA9A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999999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line="360" w:lineRule="auto"/>
      <w:outlineLvl w:val="2"/>
    </w:pPr>
    <w:rPr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line="360" w:lineRule="auto"/>
      <w:ind w:left="20"/>
      <w:outlineLvl w:val="3"/>
    </w:pPr>
    <w:rPr>
      <w:color w:val="434343"/>
      <w:sz w:val="16"/>
      <w:szCs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color w:val="FFFFFF"/>
      <w:shd w:val="clear" w:color="auto" w:fill="9AA9A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ind w:left="0"/>
      <w:outlineLvl w:val="5"/>
    </w:pPr>
    <w:rPr>
      <w:sz w:val="16"/>
      <w:szCs w:val="16"/>
      <w:shd w:val="clear" w:color="auto" w:fill="E4E4E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line="276" w:lineRule="auto"/>
      <w:ind w:left="0"/>
    </w:pPr>
    <w:rPr>
      <w:color w:val="7E8076"/>
      <w:sz w:val="96"/>
      <w:szCs w:val="9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line="276" w:lineRule="auto"/>
      <w:ind w:left="0"/>
      <w:jc w:val="right"/>
    </w:pPr>
    <w:rPr>
      <w:b/>
      <w:color w:val="FFFFFF"/>
      <w:sz w:val="48"/>
      <w:szCs w:val="48"/>
      <w:shd w:val="clear" w:color="auto" w:fill="9AA9A1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los.gutierrez@another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rey.mx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rey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gm2/Aqpz2gTnDG+hLQc/DwxTg==">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Esquivel Contreras</cp:lastModifiedBy>
  <cp:revision>9</cp:revision>
  <dcterms:created xsi:type="dcterms:W3CDTF">2023-12-11T17:16:00Z</dcterms:created>
  <dcterms:modified xsi:type="dcterms:W3CDTF">2023-12-19T17:51:00Z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0x01010094C9F2D69648784F8DFE1FB35C7F93BD</vt:lpwstr>
  </property>
</Properties>
</file>